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Times New Roman"/>
          <w:color w:val="000000"/>
          <w:sz w:val="32"/>
          <w:szCs w:val="32"/>
        </w:rPr>
        <w:t xml:space="preserve">附3： </w:t>
      </w:r>
    </w:p>
    <w:p>
      <w:pPr>
        <w:pStyle w:val="2"/>
        <w:spacing w:line="680" w:lineRule="exact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>
      <w:pPr>
        <w:spacing w:line="680" w:lineRule="exact"/>
        <w:ind w:right="4" w:firstLine="2080" w:firstLineChars="400"/>
        <w:jc w:val="both"/>
        <w:rPr>
          <w:rFonts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eastAsia" w:ascii="宋体" w:hAnsi="宋体"/>
          <w:bCs/>
          <w:color w:val="000000"/>
          <w:sz w:val="52"/>
          <w:szCs w:val="52"/>
        </w:rPr>
        <w:t>项目支出绩效评价报告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  <w:r>
        <w:rPr>
          <w:rFonts w:hint="eastAsia" w:ascii="Times New Roman" w:hAnsi="Times New Roman" w:cs="Times New Roman"/>
          <w:color w:val="000000"/>
          <w:sz w:val="56"/>
          <w:szCs w:val="56"/>
          <w:lang w:val="en-US" w:eastAsia="zh-CN"/>
        </w:rPr>
        <w:t xml:space="preserve">     </w:t>
      </w:r>
      <w:r>
        <w:rPr>
          <w:rFonts w:ascii="仿宋_GB2312" w:hAnsi="仿宋_GB2312" w:eastAsia="仿宋_GB2312" w:cs="Times New Roman"/>
          <w:color w:val="000000"/>
          <w:spacing w:val="12"/>
          <w:sz w:val="32"/>
          <w:szCs w:val="32"/>
        </w:rPr>
        <w:t>项</w:t>
      </w:r>
      <w:r>
        <w:rPr>
          <w:rFonts w:ascii="Times New Roman" w:hAnsi="Times New Roman" w:eastAsia="仿宋_GB2312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hAnsi="仿宋_GB2312" w:eastAsia="仿宋_GB2312" w:cs="Times New Roman"/>
          <w:color w:val="000000"/>
          <w:spacing w:val="12"/>
          <w:sz w:val="32"/>
          <w:szCs w:val="32"/>
        </w:rPr>
        <w:t>目</w:t>
      </w:r>
      <w:r>
        <w:rPr>
          <w:rFonts w:ascii="Times New Roman" w:hAnsi="Times New Roman" w:eastAsia="仿宋_GB2312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hAnsi="仿宋_GB2312" w:eastAsia="仿宋_GB2312" w:cs="Times New Roman"/>
          <w:color w:val="000000"/>
          <w:spacing w:val="12"/>
          <w:sz w:val="32"/>
          <w:szCs w:val="32"/>
        </w:rPr>
        <w:t>名</w:t>
      </w:r>
      <w:r>
        <w:rPr>
          <w:rFonts w:ascii="Times New Roman" w:hAnsi="Times New Roman" w:eastAsia="仿宋_GB2312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hAnsi="仿宋_GB2312" w:eastAsia="仿宋_GB2312" w:cs="Times New Roman"/>
          <w:color w:val="000000"/>
          <w:spacing w:val="12"/>
          <w:sz w:val="32"/>
          <w:szCs w:val="32"/>
        </w:rPr>
        <w:t>称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ascii="仿宋_GB2312" w:hAnsi="仿宋_GB2312"/>
          <w:color w:val="000000"/>
          <w:sz w:val="32"/>
          <w:szCs w:val="32"/>
          <w:u w:val="single"/>
        </w:rPr>
        <w:t>年党校干部培训费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color w:val="000000"/>
          <w:sz w:val="32"/>
          <w:szCs w:val="32"/>
          <w:u w:val="single"/>
        </w:rPr>
        <w:t>党校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评价实施部门：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color w:val="000000"/>
          <w:sz w:val="32"/>
          <w:szCs w:val="32"/>
          <w:u w:val="single"/>
        </w:rPr>
        <w:t>党校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评价机构名称：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color w:val="000000"/>
          <w:sz w:val="32"/>
          <w:szCs w:val="32"/>
          <w:u w:val="single"/>
        </w:rPr>
        <w:t>党校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78" w:lineRule="exact"/>
        <w:rPr>
          <w:rFonts w:ascii="Times New Roman" w:hAnsi="Times New Roman" w:cs="Times New Roman"/>
          <w:color w:val="000000"/>
          <w:sz w:val="73"/>
          <w:szCs w:val="73"/>
        </w:rPr>
      </w:pPr>
      <w:r>
        <w:rPr>
          <w:rFonts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月</w:t>
      </w:r>
    </w:p>
    <w:p>
      <w:pPr>
        <w:pStyle w:val="2"/>
        <w:spacing w:line="600" w:lineRule="exact"/>
        <w:ind w:firstLine="320" w:firstLineChars="200"/>
        <w:rPr>
          <w:rFonts w:hint="eastAsia" w:ascii="Times New Roman" w:hAnsi="Times New Roman" w:eastAsia="黑体" w:cs="Times New Roman"/>
          <w:color w:val="000000"/>
        </w:rPr>
      </w:pPr>
    </w:p>
    <w:p>
      <w:pPr>
        <w:pStyle w:val="2"/>
        <w:spacing w:line="600" w:lineRule="exact"/>
        <w:ind w:firstLine="3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pStyle w:val="2"/>
        <w:spacing w:line="59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pStyle w:val="2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（一）项目立项背景。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依据《中国共产党党校工作条例》和县财政关于下达202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年行政事业单位部门预算的通知，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予以立项，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核定202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年党校干部培训费10万元。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（二）项目预算安排及使用情况。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县财政年初预算安排党校干部培训费10万元，主要用于全县干部培训、理论宣讲、科研等工作。资金来源为县财政全额拨款。</w:t>
      </w:r>
    </w:p>
    <w:p>
      <w:pPr>
        <w:pStyle w:val="2"/>
        <w:adjustRightInd w:val="0"/>
        <w:spacing w:line="62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（三）项目计划内容及实施情况。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年党校干部培训费10万元，由县财政年初预算并予以批复，</w:t>
      </w:r>
      <w:r>
        <w:rPr>
          <w:rFonts w:ascii="仿宋_GB2312" w:hAnsi="仿宋_GB2312" w:cs="Times New Roman"/>
          <w:color w:val="000000"/>
          <w:sz w:val="32"/>
          <w:szCs w:val="32"/>
        </w:rPr>
        <w:t>全年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完成县委、县政府下达的各项工作任务；举办主体班次培训班6期；开展联合办班5期；赴各乡镇、县直部门宣讲党的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理论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场（次）；撰写调研文章、科研论文5篇；公务员、专业技术人员年度培训全覆盖。项目建设时间为202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年1月1日—202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年12月31日</w:t>
      </w:r>
    </w:p>
    <w:p>
      <w:pPr>
        <w:pStyle w:val="2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（四）项目组织管理。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主要</w:t>
      </w:r>
      <w:r>
        <w:rPr>
          <w:rFonts w:hint="eastAsia" w:ascii="仿宋" w:hAnsi="仿宋" w:eastAsia="仿宋"/>
          <w:sz w:val="30"/>
          <w:szCs w:val="30"/>
        </w:rPr>
        <w:t>职责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（1）、轮训和培训党员领导干部,培养党的理论骨干,学习研究马克思列宁主义、毛泽东思想、邓小平理论、“三个代表”重要思想、科学发展观和习近平新时代中国特色社会主义思想。</w:t>
      </w:r>
    </w:p>
    <w:p>
      <w:pPr>
        <w:ind w:firstLine="6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（2）、轮训县直机关科级干部及乡镇科级党员干部、村党支部书记和村委会主任。</w:t>
      </w:r>
    </w:p>
    <w:p>
      <w:pPr>
        <w:ind w:firstLine="6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（3）、培训县直机关及乡镇党员干部和县直机关、企事业单位入党积极分子。</w:t>
      </w:r>
    </w:p>
    <w:p>
      <w:pPr>
        <w:ind w:firstLine="6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(4)、进行理论宣讲活动，组织理论工作者深入机关、乡村、企业宣讲党的路线、方针、政策。</w:t>
      </w:r>
    </w:p>
    <w:p>
      <w:pPr>
        <w:ind w:firstLine="6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(5)、围绕改革开放和社会主义现代化建设实践中的新情况、新问题开展科学研究活动。</w:t>
      </w:r>
    </w:p>
    <w:p>
      <w:pPr>
        <w:ind w:firstLine="6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(6)、协同组织人事部门,对学员在校学习期间的表现进行考核考察。</w:t>
      </w:r>
    </w:p>
    <w:p>
      <w:pPr>
        <w:ind w:firstLine="6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(7)、承担全县公务员及行政事业单位技术工人年度培训任务。</w:t>
      </w:r>
    </w:p>
    <w:p>
      <w:pPr>
        <w:ind w:firstLine="6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(8)、承办县委、县政府交办的其他工作。</w:t>
      </w:r>
    </w:p>
    <w:p>
      <w:pPr>
        <w:pStyle w:val="10"/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</w:rPr>
        <w:t>项目由合水县委党校组织实施，由党校申请，财政部门集中支付。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数量指标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：</w:t>
      </w:r>
    </w:p>
    <w:p>
      <w:pPr>
        <w:widowControl/>
        <w:shd w:val="clear" w:color="auto" w:fill="FFFFFF"/>
        <w:spacing w:line="580" w:lineRule="atLeast"/>
        <w:ind w:firstLine="630" w:firstLineChars="196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积极开展干部教育培训，充分发挥党校职能作用</w:t>
      </w:r>
    </w:p>
    <w:p>
      <w:pPr>
        <w:widowControl/>
        <w:shd w:val="clear" w:color="auto" w:fill="FFFFFF"/>
        <w:spacing w:line="580" w:lineRule="atLeas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年共举办党员干部培训班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期，培训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3200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人。其中:合水县专职村党支部书记暨党务骨干培训班1期129人;全县党员发展对象培训班2期共165人；合水县科级干部学习贯彻党的十九届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中全会精神2期共1105人；全县村（社区）党支部书记暨村干部素质能力提升培训班1期165人；合水县2020年县直机关党支部书记培训班1期123人。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与组织部、工会、扶贫办、妇联、农业农村局、公共资源交易中心、应急管理局、统计局、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文广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局等部门联合办班10期，培训学员1192人。</w:t>
      </w:r>
    </w:p>
    <w:p>
      <w:pPr>
        <w:widowControl/>
        <w:shd w:val="clear" w:color="auto" w:fill="FFFFFF"/>
        <w:spacing w:line="58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构建科学宣讲体系，提升理论宣讲效果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Autospacing="0" w:line="240" w:lineRule="auto"/>
        <w:ind w:firstLine="64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年内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组织骨干教师到村（社区）、乡镇、县直部门、企事业单位开展十九届四中、五中全会精神等党的理论政策进基层、进机关、进社区、进企业“四进宣讲”活动5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场（次），参训人数3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人。</w:t>
      </w:r>
    </w:p>
    <w:p>
      <w:pPr>
        <w:widowControl/>
        <w:shd w:val="clear" w:color="auto" w:fill="FFFFFF"/>
        <w:spacing w:line="58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加强师资队伍建设，着力提高教学水平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</w:rPr>
        <w:t>共选派16人参加各类培训：8月份选派1名教师参加全省党校（行政学院）系统案例教学示范培训；10月份选派3名教师赴中国政法大学参加党的十九届五中全会精神专题研修班；11月份选派10名教师参加了全市党校（行政学院）系统科研咨政培训班；12月份选派2名教师分别参加了全省党校（行政学院）系统骨干师资培训班和全省党员教育师资培训示范班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坚持深入基层调研，科研工作成效显著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围绕全县乡村振兴、脱贫攻坚后续帮扶、培育优化产业、美丽乡村建设、棚户区改造、增进民生福祉、生态环境保护、全面深化改革、基层党组织建设、重大政策机遇研究、经济社会发展合理化建议等全县重点工作，深入基层、社区、部门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FFFFFF"/>
        </w:rPr>
        <w:t>开展调研咨政活动9次。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</w:rPr>
        <w:t>撰写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咨政报告3篇、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调研报告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6篇、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理论文章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篇（其中获市级以上奖励5篇），向省级以上新闻媒体投稿8篇，均被采纳或者发表。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质量指标：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干部培训覆盖率达到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95%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时效指标：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干部队伍党性提升、能力提升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pStyle w:val="2"/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成本指标：项目资金实现效益最大化，达到100%</w:t>
      </w:r>
    </w:p>
    <w:p>
      <w:pPr>
        <w:pStyle w:val="2"/>
        <w:spacing w:line="59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（1）评价目的和依据。依据《中国共产党党校工作条例》和县财政关于下达202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年行政事业单位部门预算的通知，进行绩效评价，完成县委、县政府下达的各项工作任务，充分发挥党校“三个阵地、一个熔炉”作用。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（2）评价对象和范围。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全年一般公共预算支出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（3）评价方法选择。按照项目取得的数量指标、质量指标、时效指标、成本指标绩效绩效评价。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（4）评分方法。采用现场评价进行综合分析形成项目最终绩效评价结。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（六）评价人员组成。</w:t>
      </w:r>
    </w:p>
    <w:p>
      <w:pPr>
        <w:pStyle w:val="2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（1）评价工作组人员及分工，成立评价工作领导小组</w:t>
      </w:r>
    </w:p>
    <w:p>
      <w:pPr>
        <w:pStyle w:val="2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组长：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袁书明</w:t>
      </w:r>
    </w:p>
    <w:p>
      <w:pPr>
        <w:pStyle w:val="2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副组长：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孟祥昆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齐永年</w:t>
      </w:r>
    </w:p>
    <w:p>
      <w:pPr>
        <w:pStyle w:val="2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成员：  陈小兵   孙武政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（七）绩效评价工作过程。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年12月下旬绩效评价。采取前期准备、现场评价、综合分析、评价报告撰写等评价工作过程。</w:t>
      </w:r>
    </w:p>
    <w:p>
      <w:pPr>
        <w:pStyle w:val="2"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（一）综合评价情况及评价结论。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（二）非现场评价情况分析。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（三）现场评价情况分析。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（四）分项目、单位或县县评价得分及结论。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（一）项目决策情况。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项目决策科学规范。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（二）项目过程情况。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项目使用过程合理。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（三）项目产出情况。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项目投入产出合理，成本测算充分，成本控制措施科学有效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（四）项目效益情况。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项目资金实现效益最大化，达到100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六、项目主要经验及做法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总体自评结果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，项目立项程序完整、规范、设置了明确的绩效目标，财务相关管理制度健全，预算执行及时、有效，活动开展及时有效，群众满意度高，基本实现了预期。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七、存在的问题及原因分析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虽然项目支出绩效管理的重视程度进一步提升，项目有序开展，执行和完成情况良好，资金使用规范，但是也存在不足之处，有待进一步提高。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八、有关建议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1、对自评结果通报反馈，对项目进行总结回顾，查缺补漏，对需要改进的地方积极反思，创新工作方式方法，不断完善项目。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2、进一步优化项目指标，注重其科学性、实用性、可实现性和可操作性，尽可能地设计客观性的量化指标，做到相互补充，科学可行。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3、进一步健全预算资金管理和专项资金管理制度，加强资金监管，明确工作责任，将项目预算执行情况与年终考核挂钩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Q+hMs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Eoctzjwy/dvlx+/Lj+/kmX1&#10;8lVWqA9QY+JdwNQ0vPVDzp78gM5MfFDR5i9SIhhHfc9XfeWQiMiP1qv1usKQwNh8QRz28DxESO+k&#10;tyQbDY04wKIrP32ANKbOKbma87faGPTz2ri/HIiZPSz3PvaYrTTsh6nxvW/PyKfH2TfU4apTYt47&#10;lDavyWzE2djPxjFEfejKHuV6EN4cEzZRessVRtipMA6tsJsWLG/Fn/eS9fB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n0Po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DVlNjcwNjVhOWY1ZGIzOTc0MjMxMDFkYTAwOWUifQ=="/>
  </w:docVars>
  <w:rsids>
    <w:rsidRoot w:val="00294FB7"/>
    <w:rsid w:val="000B31DE"/>
    <w:rsid w:val="00294FB7"/>
    <w:rsid w:val="00696CED"/>
    <w:rsid w:val="00BD289B"/>
    <w:rsid w:val="00E81517"/>
    <w:rsid w:val="03C02A1A"/>
    <w:rsid w:val="045D1CD5"/>
    <w:rsid w:val="08302BB2"/>
    <w:rsid w:val="0CA74041"/>
    <w:rsid w:val="19D6405C"/>
    <w:rsid w:val="4125622E"/>
    <w:rsid w:val="49651CE8"/>
    <w:rsid w:val="5F27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rPr>
      <w:rFonts w:ascii="宋体" w:hAnsi="宋体"/>
      <w:sz w:val="16"/>
      <w:szCs w:val="16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 Char"/>
    <w:basedOn w:val="7"/>
    <w:link w:val="2"/>
    <w:uiPriority w:val="99"/>
    <w:rPr>
      <w:rFonts w:ascii="宋体" w:hAnsi="宋体" w:eastAsia="宋体" w:cs="宋体"/>
      <w:sz w:val="16"/>
      <w:szCs w:val="16"/>
    </w:rPr>
  </w:style>
  <w:style w:type="paragraph" w:customStyle="1" w:styleId="10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2325</Words>
  <Characters>2410</Characters>
  <Lines>10</Lines>
  <Paragraphs>2</Paragraphs>
  <TotalTime>0</TotalTime>
  <ScaleCrop>false</ScaleCrop>
  <LinksUpToDate>false</LinksUpToDate>
  <CharactersWithSpaces>2535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2023-05-31T02:07:00Z</dcterms:created>
  <dc:creator>Administrator</dc:creator>
  <cp:lastModifiedBy>lenovo</cp:lastModifiedBy>
  <cp:lastPrinted>2023-06-02T08:50:00Z</cp:lastPrinted>
  <dcterms:modified xsi:type="dcterms:W3CDTF">2023-06-21T07:51:00Z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FEFA44A81F5141E8AD52ED21E573E052_13</vt:lpwstr>
  </property>
</Properties>
</file>